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s>
        <w:spacing w:line="360" w:lineRule="auto"/>
        <w:jc w:val="center"/>
        <w:rPr>
          <w:rFonts w:hint="eastAsia" w:ascii="宋体" w:hAnsi="宋体" w:eastAsia="宋体" w:cs="宋体"/>
          <w:b/>
          <w:sz w:val="30"/>
          <w:szCs w:val="30"/>
          <w:lang w:eastAsia="zh-CN"/>
        </w:rPr>
      </w:pPr>
      <w:r>
        <w:rPr>
          <w:rFonts w:hint="eastAsia" w:ascii="宋体" w:hAnsi="宋体" w:eastAsia="宋体" w:cs="宋体"/>
          <w:b/>
          <w:sz w:val="30"/>
          <w:szCs w:val="30"/>
        </w:rPr>
        <w:t>广东南方职业学院</w:t>
      </w:r>
      <w:r>
        <w:rPr>
          <w:rFonts w:hint="eastAsia" w:ascii="宋体" w:hAnsi="宋体" w:eastAsia="宋体" w:cs="宋体"/>
          <w:b/>
          <w:sz w:val="30"/>
          <w:szCs w:val="30"/>
          <w:lang w:eastAsia="zh-CN"/>
        </w:rPr>
        <w:t>成人高等教育</w:t>
      </w:r>
    </w:p>
    <w:p>
      <w:pPr>
        <w:tabs>
          <w:tab w:val="left" w:pos="0"/>
        </w:tabs>
        <w:spacing w:line="360" w:lineRule="auto"/>
        <w:jc w:val="center"/>
        <w:rPr>
          <w:rFonts w:hint="eastAsia" w:ascii="宋体" w:hAnsi="宋体" w:eastAsia="宋体" w:cs="宋体"/>
          <w:b/>
          <w:sz w:val="30"/>
          <w:szCs w:val="30"/>
          <w:lang w:val="en-US" w:eastAsia="zh-CN"/>
        </w:rPr>
      </w:pPr>
      <w:r>
        <w:rPr>
          <w:rFonts w:hint="eastAsia" w:ascii="宋体" w:hAnsi="宋体" w:eastAsia="宋体" w:cs="宋体"/>
          <w:b/>
          <w:sz w:val="30"/>
          <w:szCs w:val="30"/>
        </w:rPr>
        <w:t>202</w:t>
      </w:r>
      <w:r>
        <w:rPr>
          <w:rFonts w:hint="eastAsia" w:ascii="宋体" w:hAnsi="宋体" w:cs="宋体"/>
          <w:b/>
          <w:sz w:val="30"/>
          <w:szCs w:val="30"/>
          <w:lang w:val="en-US" w:eastAsia="zh-CN"/>
        </w:rPr>
        <w:t>3</w:t>
      </w:r>
      <w:r>
        <w:rPr>
          <w:rFonts w:hint="eastAsia" w:ascii="宋体" w:hAnsi="宋体" w:eastAsia="宋体" w:cs="宋体"/>
          <w:b/>
          <w:sz w:val="30"/>
          <w:szCs w:val="30"/>
        </w:rPr>
        <w:t>年第</w:t>
      </w:r>
      <w:r>
        <w:rPr>
          <w:rFonts w:hint="eastAsia" w:ascii="宋体" w:hAnsi="宋体" w:cs="宋体"/>
          <w:b/>
          <w:sz w:val="30"/>
          <w:szCs w:val="30"/>
          <w:lang w:val="en-US" w:eastAsia="zh-CN"/>
        </w:rPr>
        <w:t>三</w:t>
      </w:r>
      <w:r>
        <w:rPr>
          <w:rFonts w:hint="eastAsia" w:ascii="宋体" w:hAnsi="宋体" w:eastAsia="宋体" w:cs="宋体"/>
          <w:b/>
          <w:sz w:val="30"/>
          <w:szCs w:val="30"/>
        </w:rPr>
        <w:t>学期考试试卷</w:t>
      </w:r>
      <w:r>
        <w:rPr>
          <w:rFonts w:hint="eastAsia" w:ascii="宋体" w:hAnsi="宋体" w:eastAsia="宋体" w:cs="宋体"/>
          <w:b/>
          <w:sz w:val="30"/>
          <w:szCs w:val="30"/>
          <w:lang w:val="en-US" w:eastAsia="zh-CN"/>
        </w:rPr>
        <w:t>答案</w:t>
      </w:r>
    </w:p>
    <w:p>
      <w:pPr>
        <w:tabs>
          <w:tab w:val="left" w:pos="0"/>
        </w:tabs>
        <w:spacing w:line="360" w:lineRule="auto"/>
        <w:ind w:firstLine="241" w:firstLineChars="100"/>
        <w:jc w:val="both"/>
        <w:rPr>
          <w:rFonts w:hint="eastAsia" w:ascii="宋体" w:hAnsi="宋体" w:cs="宋体"/>
          <w:b/>
          <w:sz w:val="24"/>
          <w:szCs w:val="24"/>
          <w:u w:val="none"/>
          <w:lang w:val="en-US" w:eastAsia="zh-CN"/>
        </w:rPr>
      </w:pPr>
      <w:r>
        <w:rPr>
          <w:rFonts w:hint="eastAsia" w:ascii="宋体" w:hAnsi="宋体" w:eastAsia="宋体" w:cs="宋体"/>
          <w:b/>
          <w:sz w:val="24"/>
          <w:szCs w:val="24"/>
        </w:rPr>
        <w:t>课程名称：</w:t>
      </w:r>
      <w:r>
        <w:rPr>
          <w:rFonts w:hint="eastAsia" w:ascii="宋体" w:hAnsi="宋体" w:cs="宋体"/>
          <w:b/>
          <w:sz w:val="24"/>
          <w:szCs w:val="24"/>
          <w:u w:val="single"/>
          <w:lang w:val="en-US" w:eastAsia="zh-CN"/>
        </w:rPr>
        <w:t>液压与气压传动</w:t>
      </w:r>
      <w:r>
        <w:rPr>
          <w:rFonts w:hint="eastAsia" w:ascii="宋体" w:hAnsi="宋体" w:cs="宋体"/>
          <w:b/>
          <w:sz w:val="24"/>
          <w:szCs w:val="24"/>
          <w:u w:val="none"/>
          <w:lang w:val="en-US" w:eastAsia="zh-CN"/>
        </w:rPr>
        <w:t xml:space="preserve"> </w:t>
      </w:r>
      <w:r>
        <w:rPr>
          <w:rFonts w:hint="eastAsia" w:ascii="宋体" w:hAnsi="宋体" w:eastAsia="宋体" w:cs="宋体"/>
          <w:b/>
          <w:sz w:val="24"/>
          <w:szCs w:val="24"/>
        </w:rPr>
        <w:t>课程班级：</w:t>
      </w:r>
      <w:r>
        <w:rPr>
          <w:rFonts w:hint="eastAsia" w:ascii="宋体" w:hAnsi="宋体" w:eastAsia="宋体" w:cs="宋体"/>
          <w:b/>
          <w:sz w:val="24"/>
          <w:szCs w:val="24"/>
          <w:u w:val="single"/>
          <w:lang w:val="en-US" w:eastAsia="zh-CN"/>
        </w:rPr>
        <w:t>202</w:t>
      </w:r>
      <w:r>
        <w:rPr>
          <w:rFonts w:hint="eastAsia" w:ascii="宋体" w:hAnsi="宋体" w:cs="宋体"/>
          <w:b/>
          <w:sz w:val="24"/>
          <w:szCs w:val="24"/>
          <w:u w:val="single"/>
          <w:lang w:val="en-US" w:eastAsia="zh-CN"/>
        </w:rPr>
        <w:t>2</w:t>
      </w:r>
      <w:r>
        <w:rPr>
          <w:rFonts w:hint="eastAsia" w:ascii="宋体" w:hAnsi="宋体" w:eastAsia="宋体" w:cs="宋体"/>
          <w:b/>
          <w:sz w:val="24"/>
          <w:szCs w:val="24"/>
          <w:u w:val="single"/>
          <w:lang w:val="en-US" w:eastAsia="zh-CN"/>
        </w:rPr>
        <w:t>级</w:t>
      </w:r>
      <w:r>
        <w:rPr>
          <w:rFonts w:hint="eastAsia" w:ascii="宋体" w:hAnsi="宋体" w:cs="宋体"/>
          <w:b/>
          <w:sz w:val="24"/>
          <w:szCs w:val="24"/>
          <w:u w:val="single"/>
          <w:lang w:val="en-US" w:eastAsia="zh-CN"/>
        </w:rPr>
        <w:t>模具设计与制造</w:t>
      </w:r>
      <w:r>
        <w:rPr>
          <w:rFonts w:hint="eastAsia" w:ascii="宋体" w:hAnsi="宋体" w:cs="宋体"/>
          <w:b/>
          <w:sz w:val="24"/>
          <w:szCs w:val="24"/>
          <w:u w:val="none"/>
          <w:lang w:val="en-US" w:eastAsia="zh-CN"/>
        </w:rPr>
        <w:t xml:space="preserve"> </w:t>
      </w:r>
    </w:p>
    <w:p>
      <w:pPr>
        <w:tabs>
          <w:tab w:val="left" w:pos="0"/>
        </w:tabs>
        <w:spacing w:line="360" w:lineRule="auto"/>
        <w:ind w:firstLine="241" w:firstLineChars="100"/>
        <w:jc w:val="both"/>
        <w:rPr>
          <w:rFonts w:hint="eastAsia" w:ascii="宋体" w:hAnsi="宋体" w:eastAsia="宋体" w:cs="宋体"/>
          <w:b/>
          <w:sz w:val="24"/>
          <w:szCs w:val="24"/>
        </w:rPr>
      </w:pPr>
      <w:r>
        <w:rPr>
          <w:rFonts w:hint="eastAsia" w:ascii="宋体" w:hAnsi="宋体" w:eastAsia="宋体" w:cs="宋体"/>
          <w:b/>
          <w:sz w:val="24"/>
          <w:szCs w:val="24"/>
        </w:rPr>
        <w:t>层次</w:t>
      </w:r>
      <w:r>
        <w:rPr>
          <w:rFonts w:hint="eastAsia" w:ascii="宋体" w:hAnsi="宋体" w:eastAsia="宋体" w:cs="宋体"/>
          <w:b/>
          <w:sz w:val="24"/>
          <w:szCs w:val="24"/>
          <w:lang w:eastAsia="zh-CN"/>
        </w:rPr>
        <w:t>：</w:t>
      </w:r>
      <w:r>
        <w:rPr>
          <w:rFonts w:hint="eastAsia" w:ascii="宋体" w:hAnsi="宋体" w:eastAsia="宋体" w:cs="宋体"/>
          <w:b/>
          <w:sz w:val="24"/>
          <w:szCs w:val="24"/>
          <w:u w:val="single"/>
        </w:rPr>
        <w:t>专科</w:t>
      </w:r>
      <w:r>
        <w:rPr>
          <w:rFonts w:hint="eastAsia" w:ascii="宋体" w:hAnsi="宋体" w:eastAsia="宋体" w:cs="宋体"/>
          <w:b/>
          <w:sz w:val="24"/>
          <w:szCs w:val="24"/>
          <w:lang w:val="en-US" w:eastAsia="zh-CN"/>
        </w:rPr>
        <w:t xml:space="preserve"> </w:t>
      </w:r>
      <w:r>
        <w:rPr>
          <w:rFonts w:hint="eastAsia" w:ascii="宋体" w:hAnsi="宋体" w:eastAsia="宋体" w:cs="宋体"/>
          <w:b/>
          <w:sz w:val="24"/>
          <w:szCs w:val="24"/>
        </w:rPr>
        <w:t>共</w:t>
      </w:r>
      <w:r>
        <w:rPr>
          <w:rFonts w:hint="eastAsia" w:ascii="宋体" w:hAnsi="宋体" w:eastAsia="宋体" w:cs="宋体"/>
          <w:b/>
          <w:sz w:val="24"/>
          <w:szCs w:val="24"/>
          <w:u w:val="single"/>
        </w:rPr>
        <w:t xml:space="preserve"> </w:t>
      </w:r>
      <w:r>
        <w:rPr>
          <w:rFonts w:hint="eastAsia" w:ascii="宋体" w:hAnsi="宋体" w:eastAsia="宋体" w:cs="宋体"/>
          <w:b/>
          <w:sz w:val="24"/>
          <w:szCs w:val="24"/>
          <w:u w:val="single"/>
          <w:lang w:val="en-US" w:eastAsia="zh-CN"/>
        </w:rPr>
        <w:t>2</w:t>
      </w:r>
      <w:r>
        <w:rPr>
          <w:rFonts w:hint="eastAsia" w:ascii="宋体" w:hAnsi="宋体" w:eastAsia="宋体" w:cs="宋体"/>
          <w:b/>
          <w:sz w:val="24"/>
          <w:szCs w:val="24"/>
          <w:u w:val="single"/>
        </w:rPr>
        <w:t xml:space="preserve"> </w:t>
      </w:r>
      <w:r>
        <w:rPr>
          <w:rFonts w:hint="eastAsia" w:ascii="宋体" w:hAnsi="宋体" w:eastAsia="宋体" w:cs="宋体"/>
          <w:b/>
          <w:sz w:val="24"/>
          <w:szCs w:val="24"/>
        </w:rPr>
        <w:t>页</w:t>
      </w:r>
    </w:p>
    <w:p>
      <w:pPr>
        <w:tabs>
          <w:tab w:val="left" w:pos="0"/>
        </w:tabs>
        <w:spacing w:line="360" w:lineRule="auto"/>
        <w:jc w:val="both"/>
        <w:rPr>
          <w:rFonts w:hint="eastAsia" w:ascii="宋体" w:hAnsi="宋体" w:eastAsia="宋体" w:cs="宋体"/>
          <w:b/>
          <w:sz w:val="24"/>
          <w:szCs w:val="24"/>
        </w:rPr>
      </w:pPr>
    </w:p>
    <w:p>
      <w:pPr>
        <w:numPr>
          <w:ilvl w:val="0"/>
          <w:numId w:val="1"/>
        </w:numPr>
        <w:spacing w:line="360" w:lineRule="auto"/>
        <w:ind w:leftChars="0"/>
        <w:rPr>
          <w:sz w:val="24"/>
          <w:szCs w:val="24"/>
        </w:rPr>
      </w:pPr>
      <w:r>
        <w:rPr>
          <w:rFonts w:hint="eastAsia" w:ascii="宋体" w:hAnsi="宋体" w:eastAsia="宋体" w:cs="宋体"/>
          <w:b/>
          <w:bCs/>
          <w:sz w:val="24"/>
          <w:szCs w:val="24"/>
          <w:lang w:eastAsia="zh-CN"/>
        </w:rPr>
        <w:t>单项</w:t>
      </w:r>
      <w:r>
        <w:rPr>
          <w:rFonts w:hint="eastAsia" w:ascii="宋体" w:hAnsi="宋体" w:eastAsia="宋体" w:cs="宋体"/>
          <w:b/>
          <w:bCs/>
          <w:sz w:val="24"/>
          <w:szCs w:val="24"/>
        </w:rPr>
        <w:t>选择题</w:t>
      </w:r>
      <w:r>
        <w:rPr>
          <w:rStyle w:val="7"/>
          <w:rFonts w:hint="eastAsia" w:ascii="宋体" w:hAnsi="宋体" w:eastAsia="宋体" w:cs="宋体"/>
          <w:b/>
          <w:bCs/>
          <w:color w:val="000000"/>
          <w:sz w:val="24"/>
          <w:szCs w:val="24"/>
          <w:lang w:eastAsia="zh-CN"/>
        </w:rPr>
        <w:t>（</w:t>
      </w:r>
      <w:r>
        <w:rPr>
          <w:rStyle w:val="7"/>
          <w:rFonts w:hint="eastAsia" w:ascii="宋体" w:hAnsi="宋体" w:eastAsia="宋体" w:cs="宋体"/>
          <w:b/>
          <w:bCs/>
          <w:color w:val="000000"/>
          <w:sz w:val="24"/>
          <w:szCs w:val="24"/>
        </w:rPr>
        <w:t>每</w:t>
      </w:r>
      <w:r>
        <w:rPr>
          <w:rStyle w:val="7"/>
          <w:rFonts w:hint="eastAsia" w:ascii="宋体" w:hAnsi="宋体" w:eastAsia="宋体" w:cs="宋体"/>
          <w:b/>
          <w:bCs/>
          <w:color w:val="000000"/>
          <w:sz w:val="24"/>
          <w:szCs w:val="24"/>
          <w:lang w:eastAsia="zh-CN"/>
        </w:rPr>
        <w:t>小</w:t>
      </w:r>
      <w:r>
        <w:rPr>
          <w:rStyle w:val="7"/>
          <w:rFonts w:hint="eastAsia" w:ascii="宋体" w:hAnsi="宋体" w:eastAsia="宋体" w:cs="宋体"/>
          <w:b/>
          <w:bCs/>
          <w:color w:val="000000"/>
          <w:sz w:val="24"/>
          <w:szCs w:val="24"/>
        </w:rPr>
        <w:t>题2分，共</w:t>
      </w:r>
      <w:r>
        <w:rPr>
          <w:rStyle w:val="7"/>
          <w:rFonts w:hint="eastAsia" w:ascii="宋体" w:hAnsi="宋体" w:eastAsia="宋体" w:cs="宋体"/>
          <w:b/>
          <w:bCs/>
          <w:color w:val="000000"/>
          <w:sz w:val="24"/>
          <w:szCs w:val="24"/>
          <w:lang w:val="en-US" w:eastAsia="zh-CN"/>
        </w:rPr>
        <w:t>40</w:t>
      </w:r>
      <w:r>
        <w:rPr>
          <w:rStyle w:val="7"/>
          <w:rFonts w:hint="eastAsia" w:ascii="宋体" w:hAnsi="宋体" w:eastAsia="宋体" w:cs="宋体"/>
          <w:b/>
          <w:bCs/>
          <w:color w:val="000000"/>
          <w:sz w:val="24"/>
          <w:szCs w:val="24"/>
        </w:rPr>
        <w:t>分</w:t>
      </w:r>
      <w:r>
        <w:rPr>
          <w:rStyle w:val="7"/>
          <w:rFonts w:hint="eastAsia" w:ascii="宋体" w:hAnsi="宋体" w:eastAsia="宋体" w:cs="宋体"/>
          <w:b/>
          <w:bCs/>
          <w:color w:val="000000"/>
          <w:sz w:val="24"/>
          <w:szCs w:val="24"/>
          <w:lang w:eastAsia="zh-CN"/>
        </w:rPr>
        <w:t>）</w:t>
      </w:r>
    </w:p>
    <w:p>
      <w:pPr>
        <w:numPr>
          <w:ilvl w:val="0"/>
          <w:numId w:val="0"/>
        </w:num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1-5   AABCC          6-10 BABBC   </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lang w:val="en-US" w:eastAsia="zh-CN"/>
        </w:rPr>
        <w:t>11-15  BCACB        16-20 BACAA</w:t>
      </w:r>
    </w:p>
    <w:p>
      <w:pP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lang w:val="en-US" w:eastAsia="zh-CN"/>
        </w:rPr>
        <w:t>二</w:t>
      </w:r>
      <w:r>
        <w:rPr>
          <w:rFonts w:hint="eastAsia" w:asciiTheme="majorEastAsia" w:hAnsiTheme="majorEastAsia" w:eastAsiaTheme="majorEastAsia" w:cstheme="majorEastAsia"/>
          <w:b/>
          <w:bCs/>
          <w:sz w:val="24"/>
          <w:szCs w:val="24"/>
        </w:rPr>
        <w:t>、判断题（每</w:t>
      </w:r>
      <w:r>
        <w:rPr>
          <w:rFonts w:hint="eastAsia" w:asciiTheme="majorEastAsia" w:hAnsiTheme="majorEastAsia" w:eastAsiaTheme="majorEastAsia" w:cstheme="majorEastAsia"/>
          <w:b/>
          <w:bCs/>
          <w:sz w:val="24"/>
          <w:szCs w:val="24"/>
          <w:lang w:val="en-US" w:eastAsia="zh-CN"/>
        </w:rPr>
        <w:t>小</w:t>
      </w:r>
      <w:r>
        <w:rPr>
          <w:rFonts w:hint="eastAsia" w:asciiTheme="majorEastAsia" w:hAnsiTheme="majorEastAsia" w:eastAsiaTheme="majorEastAsia" w:cstheme="majorEastAsia"/>
          <w:b/>
          <w:bCs/>
          <w:sz w:val="24"/>
          <w:szCs w:val="24"/>
        </w:rPr>
        <w:t>题</w:t>
      </w:r>
      <w:r>
        <w:rPr>
          <w:rFonts w:hint="eastAsia" w:asciiTheme="majorEastAsia" w:hAnsiTheme="majorEastAsia" w:eastAsiaTheme="majorEastAsia" w:cstheme="majorEastAsia"/>
          <w:b/>
          <w:bCs/>
          <w:sz w:val="24"/>
          <w:szCs w:val="24"/>
          <w:lang w:val="en-US" w:eastAsia="zh-CN"/>
        </w:rPr>
        <w:t>2</w:t>
      </w:r>
      <w:r>
        <w:rPr>
          <w:rFonts w:hint="eastAsia" w:asciiTheme="majorEastAsia" w:hAnsiTheme="majorEastAsia" w:eastAsiaTheme="majorEastAsia" w:cstheme="majorEastAsia"/>
          <w:b/>
          <w:bCs/>
          <w:sz w:val="24"/>
          <w:szCs w:val="24"/>
        </w:rPr>
        <w:t>分，共</w:t>
      </w:r>
      <w:r>
        <w:rPr>
          <w:rFonts w:hint="eastAsia" w:asciiTheme="majorEastAsia" w:hAnsiTheme="majorEastAsia" w:eastAsiaTheme="majorEastAsia" w:cstheme="majorEastAsia"/>
          <w:b/>
          <w:bCs/>
          <w:sz w:val="24"/>
          <w:szCs w:val="24"/>
          <w:lang w:val="en-US" w:eastAsia="zh-CN"/>
        </w:rPr>
        <w:t>20</w:t>
      </w:r>
      <w:r>
        <w:rPr>
          <w:rFonts w:hint="eastAsia" w:asciiTheme="majorEastAsia" w:hAnsiTheme="majorEastAsia" w:eastAsiaTheme="majorEastAsia" w:cstheme="majorEastAsia"/>
          <w:b/>
          <w:bCs/>
          <w:sz w:val="24"/>
          <w:szCs w:val="24"/>
        </w:rPr>
        <w:t>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 xml:space="preserve">1-5  </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 xml:space="preserve">6-10  </w:t>
      </w:r>
      <w:r>
        <w:rPr>
          <w:rFonts w:hint="eastAsia" w:asciiTheme="minorEastAsia" w:hAnsiTheme="minorEastAsia" w:eastAsiaTheme="minorEastAsia" w:cstheme="minorEastAsia"/>
        </w:rPr>
        <w:t>√×√××</w:t>
      </w:r>
    </w:p>
    <w:p>
      <w:pPr>
        <w:rPr>
          <w:rFonts w:hint="eastAsia"/>
          <w:b/>
          <w:bCs/>
          <w:sz w:val="24"/>
          <w:szCs w:val="24"/>
          <w:lang w:eastAsia="zh-CN"/>
        </w:rPr>
      </w:pPr>
      <w:r>
        <w:rPr>
          <w:rFonts w:hint="eastAsia"/>
          <w:b/>
          <w:bCs/>
          <w:sz w:val="24"/>
          <w:szCs w:val="24"/>
          <w:lang w:val="en-US" w:eastAsia="zh-CN"/>
        </w:rPr>
        <w:t>三</w:t>
      </w:r>
      <w:r>
        <w:rPr>
          <w:b/>
          <w:bCs/>
          <w:sz w:val="24"/>
          <w:szCs w:val="24"/>
        </w:rPr>
        <w:t>、名词解释</w:t>
      </w:r>
      <w:r>
        <w:rPr>
          <w:rFonts w:hint="eastAsia"/>
          <w:b/>
          <w:bCs/>
          <w:sz w:val="24"/>
          <w:szCs w:val="24"/>
          <w:lang w:eastAsia="zh-CN"/>
        </w:rPr>
        <w:t>（</w:t>
      </w:r>
      <w:r>
        <w:rPr>
          <w:rFonts w:hint="eastAsia"/>
          <w:b/>
          <w:bCs/>
          <w:sz w:val="24"/>
          <w:szCs w:val="24"/>
          <w:lang w:val="en-US" w:eastAsia="zh-CN"/>
        </w:rPr>
        <w:t>每小题2分，共10分</w:t>
      </w:r>
      <w:r>
        <w:rPr>
          <w:rFonts w:hint="eastAsia"/>
          <w:b/>
          <w:bCs/>
          <w:sz w:val="24"/>
          <w:szCs w:val="24"/>
          <w:lang w:eastAsia="zh-CN"/>
        </w:rPr>
        <w:t>）</w:t>
      </w:r>
    </w:p>
    <w:p>
      <w:r>
        <w:rPr>
          <w:sz w:val="21"/>
          <w:szCs w:val="21"/>
        </w:rPr>
        <w:t>1． 层流</w:t>
      </w:r>
      <w:r>
        <w:rPr>
          <w:rFonts w:hint="eastAsia"/>
          <w:sz w:val="21"/>
          <w:szCs w:val="21"/>
          <w:lang w:eastAsia="zh-CN"/>
        </w:rPr>
        <w:t>：</w:t>
      </w:r>
      <w:r>
        <w:rPr>
          <w:sz w:val="21"/>
          <w:szCs w:val="21"/>
        </w:rPr>
        <w:t>粘性力起主导作用，液体质点受粘性的约束，不能随意运动，层次分明的流动状态。</w:t>
      </w:r>
    </w:p>
    <w:p>
      <w:pPr>
        <w:pStyle w:val="4"/>
        <w:keepNext w:val="0"/>
        <w:keepLines w:val="0"/>
        <w:widowControl/>
        <w:numPr>
          <w:ilvl w:val="0"/>
          <w:numId w:val="2"/>
        </w:numPr>
        <w:suppressLineNumbers w:val="0"/>
        <w:pBdr>
          <w:top w:val="none" w:color="auto" w:sz="0" w:space="0"/>
        </w:pBdr>
        <w:spacing w:before="0" w:beforeAutospacing="1" w:after="0" w:afterAutospacing="1" w:line="240" w:lineRule="auto"/>
        <w:ind w:left="0" w:right="0" w:firstLine="0"/>
      </w:pPr>
      <w:r>
        <w:rPr>
          <w:sz w:val="21"/>
          <w:szCs w:val="21"/>
        </w:rPr>
        <w:t>紊流</w:t>
      </w:r>
      <w:r>
        <w:rPr>
          <w:rFonts w:hint="eastAsia"/>
          <w:sz w:val="21"/>
          <w:szCs w:val="21"/>
          <w:lang w:eastAsia="zh-CN"/>
        </w:rPr>
        <w:t>：</w:t>
      </w:r>
      <w:r>
        <w:rPr>
          <w:sz w:val="21"/>
          <w:szCs w:val="21"/>
        </w:rPr>
        <w:t>惯性力起主导作用，高速流动时液体质点间的粘性不再约束质点，完全紊乱的流动状态。</w:t>
      </w:r>
    </w:p>
    <w:p>
      <w:pPr>
        <w:pStyle w:val="4"/>
        <w:keepNext w:val="0"/>
        <w:keepLines w:val="0"/>
        <w:widowControl/>
        <w:numPr>
          <w:ilvl w:val="0"/>
          <w:numId w:val="2"/>
        </w:numPr>
        <w:suppressLineNumbers w:val="0"/>
        <w:pBdr>
          <w:top w:val="none" w:color="auto" w:sz="0" w:space="0"/>
        </w:pBdr>
        <w:spacing w:before="0" w:beforeAutospacing="1" w:after="0" w:afterAutospacing="1" w:line="240" w:lineRule="auto"/>
        <w:ind w:left="0" w:leftChars="0" w:right="0" w:firstLine="0" w:firstLineChars="0"/>
      </w:pPr>
      <w:r>
        <w:rPr>
          <w:sz w:val="21"/>
          <w:szCs w:val="21"/>
        </w:rPr>
        <w:t>沿程压力损失</w:t>
      </w:r>
      <w:r>
        <w:rPr>
          <w:rFonts w:hint="eastAsia"/>
          <w:sz w:val="21"/>
          <w:szCs w:val="21"/>
          <w:lang w:eastAsia="zh-CN"/>
        </w:rPr>
        <w:t>：</w:t>
      </w:r>
      <w:r>
        <w:rPr>
          <w:sz w:val="21"/>
          <w:szCs w:val="21"/>
        </w:rPr>
        <w:t>液体在管中流动时因粘性摩擦而产生的损失。</w:t>
      </w:r>
    </w:p>
    <w:p>
      <w:pPr>
        <w:pStyle w:val="4"/>
        <w:keepNext w:val="0"/>
        <w:keepLines w:val="0"/>
        <w:widowControl/>
        <w:numPr>
          <w:ilvl w:val="0"/>
          <w:numId w:val="2"/>
        </w:numPr>
        <w:suppressLineNumbers w:val="0"/>
        <w:pBdr>
          <w:top w:val="none" w:color="auto" w:sz="0" w:space="0"/>
        </w:pBdr>
        <w:spacing w:before="0" w:beforeAutospacing="1" w:after="0" w:afterAutospacing="1" w:line="240" w:lineRule="auto"/>
        <w:ind w:left="0" w:leftChars="0" w:right="0" w:firstLine="0" w:firstLineChars="0"/>
      </w:pPr>
      <w:r>
        <w:rPr>
          <w:sz w:val="21"/>
          <w:szCs w:val="21"/>
        </w:rPr>
        <w:t>局部压力损失</w:t>
      </w:r>
      <w:r>
        <w:rPr>
          <w:rFonts w:hint="eastAsia"/>
          <w:sz w:val="21"/>
          <w:szCs w:val="21"/>
          <w:lang w:eastAsia="zh-CN"/>
        </w:rPr>
        <w:t>：</w:t>
      </w:r>
      <w:r>
        <w:rPr>
          <w:sz w:val="21"/>
          <w:szCs w:val="21"/>
        </w:rPr>
        <w:t>液体流经管道的弯头、接头、突然变化的截面以及阀口等处时，液体流速的大小和方向急剧发生变化，产生漩涡并出现强烈的紊动现象，由此造成的压力损失</w:t>
      </w:r>
    </w:p>
    <w:p>
      <w:pPr>
        <w:pStyle w:val="4"/>
        <w:keepNext w:val="0"/>
        <w:keepLines w:val="0"/>
        <w:widowControl/>
        <w:numPr>
          <w:ilvl w:val="0"/>
          <w:numId w:val="2"/>
        </w:numPr>
        <w:suppressLineNumbers w:val="0"/>
        <w:pBdr>
          <w:top w:val="none" w:color="auto" w:sz="0" w:space="0"/>
        </w:pBdr>
        <w:spacing w:before="0" w:beforeAutospacing="1" w:after="0" w:afterAutospacing="1" w:line="240" w:lineRule="auto"/>
        <w:ind w:left="0" w:leftChars="0" w:right="0" w:firstLine="0" w:firstLineChars="0"/>
        <w:rPr>
          <w:sz w:val="21"/>
          <w:szCs w:val="21"/>
        </w:rPr>
      </w:pPr>
      <w:r>
        <w:rPr>
          <w:sz w:val="21"/>
          <w:szCs w:val="21"/>
        </w:rPr>
        <w:t>液压卡紧现象</w:t>
      </w:r>
      <w:r>
        <w:rPr>
          <w:rFonts w:hint="eastAsia"/>
          <w:sz w:val="21"/>
          <w:szCs w:val="21"/>
          <w:lang w:eastAsia="zh-CN"/>
        </w:rPr>
        <w:t>：</w:t>
      </w:r>
      <w:r>
        <w:rPr>
          <w:sz w:val="21"/>
          <w:szCs w:val="21"/>
        </w:rPr>
        <w:t>当液体流经圆锥环形间隙时，若阀芯在阀体孔内出现偏心，阀芯可能受到一个液压侧向力的作用。当液压侧向力足够大时，阀芯将紧贴在阀孔壁面上，产生卡紧现象。</w:t>
      </w:r>
    </w:p>
    <w:p>
      <w:pPr>
        <w:pStyle w:val="4"/>
        <w:keepNext w:val="0"/>
        <w:keepLines w:val="0"/>
        <w:widowControl/>
        <w:numPr>
          <w:ilvl w:val="0"/>
          <w:numId w:val="0"/>
        </w:numPr>
        <w:suppressLineNumbers w:val="0"/>
        <w:pBdr>
          <w:top w:val="none" w:color="auto" w:sz="0" w:space="0"/>
        </w:pBdr>
        <w:spacing w:before="0" w:beforeAutospacing="1" w:after="0" w:afterAutospacing="1" w:line="240" w:lineRule="auto"/>
        <w:ind w:leftChars="0" w:right="0" w:rightChars="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en-US" w:eastAsia="zh-CN"/>
        </w:rPr>
        <w:t>四、</w:t>
      </w:r>
      <w:r>
        <w:rPr>
          <w:rFonts w:hint="eastAsia" w:asciiTheme="minorEastAsia" w:hAnsiTheme="minorEastAsia" w:eastAsiaTheme="minorEastAsia" w:cstheme="minorEastAsia"/>
          <w:b/>
          <w:bCs/>
          <w:sz w:val="24"/>
          <w:szCs w:val="24"/>
        </w:rPr>
        <w:t>简答题（每小题</w:t>
      </w:r>
      <w:r>
        <w:rPr>
          <w:rFonts w:hint="eastAsia" w:asciiTheme="minorEastAsia" w:hAnsiTheme="minorEastAsia" w:eastAsiaTheme="minorEastAsia" w:cstheme="minorEastAsia"/>
          <w:b/>
          <w:bCs/>
          <w:sz w:val="24"/>
          <w:szCs w:val="24"/>
          <w:lang w:val="en-US" w:eastAsia="zh-CN"/>
        </w:rPr>
        <w:t>6</w:t>
      </w:r>
      <w:r>
        <w:rPr>
          <w:rFonts w:hint="eastAsia" w:asciiTheme="minorEastAsia" w:hAnsiTheme="minorEastAsia" w:eastAsiaTheme="minorEastAsia" w:cstheme="minorEastAsia"/>
          <w:b/>
          <w:bCs/>
          <w:sz w:val="24"/>
          <w:szCs w:val="24"/>
        </w:rPr>
        <w:t>分，共</w:t>
      </w:r>
      <w:r>
        <w:rPr>
          <w:rFonts w:hint="eastAsia" w:asciiTheme="minorEastAsia" w:hAnsiTheme="minorEastAsia" w:eastAsiaTheme="minorEastAsia" w:cstheme="minorEastAsia"/>
          <w:b/>
          <w:bCs/>
          <w:sz w:val="24"/>
          <w:szCs w:val="24"/>
          <w:lang w:val="en-US" w:eastAsia="zh-CN"/>
        </w:rPr>
        <w:t>3</w:t>
      </w:r>
      <w:r>
        <w:rPr>
          <w:rFonts w:hint="eastAsia" w:asciiTheme="minorEastAsia" w:hAnsiTheme="minorEastAsia" w:eastAsiaTheme="minorEastAsia" w:cstheme="minorEastAsia"/>
          <w:b/>
          <w:bCs/>
          <w:sz w:val="24"/>
          <w:szCs w:val="24"/>
        </w:rPr>
        <w:t>0分）</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1．（1）必须能构成密闭容积。</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（2）密闭容积不断变化，以此完成吸油和压油过程。</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（3）要有配油装置。</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2．（1）作溢流调压用。</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（2）作安全保护用。</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（3）作卸荷阀用。</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（4）作背压阀用。</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．在液压系统中，由于某种原因，液体压力在一瞬间会突然升高，产生很高的压力峰值</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这种现象称为液压冲击。</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液压冲击产生的原因：（1）液流通道迅速关闭或液流迅速换向使液流速度的大小或方向突然变化时，由于液流的惯力引起的液压冲击。</w:t>
      </w:r>
    </w:p>
    <w:p>
      <w:pPr>
        <w:numPr>
          <w:ilvl w:val="0"/>
          <w:numId w:val="3"/>
        </w:num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运动着的工作部件突然制动或换向时，因工作部件的惯性引起的液压冲击。</w:t>
      </w:r>
    </w:p>
    <w:p>
      <w:pPr>
        <w:numPr>
          <w:ilvl w:val="0"/>
          <w:numId w:val="3"/>
        </w:num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某些液压元件动作失灵或不灵敏，使系统压力升高而引起的液压冲击。</w:t>
      </w:r>
    </w:p>
    <w:p>
      <w:pPr>
        <w:numPr>
          <w:ilvl w:val="0"/>
          <w:numId w:val="4"/>
        </w:num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溢流阀与减压阀的区别：以先导式为例，不同之处有：</w:t>
      </w:r>
    </w:p>
    <w:p>
      <w:pPr>
        <w:numPr>
          <w:ilvl w:val="0"/>
          <w:numId w:val="5"/>
        </w:num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减压阀保持出口压力基本不变，而溢流阀保持进口处压力基本不变。</w:t>
      </w:r>
    </w:p>
    <w:p>
      <w:pPr>
        <w:numPr>
          <w:ilvl w:val="0"/>
          <w:numId w:val="5"/>
        </w:num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在不工作时，减压阀进、出油口互通，而溢流阀进出油口不通。</w:t>
      </w:r>
    </w:p>
    <w:p>
      <w:pPr>
        <w:numPr>
          <w:ilvl w:val="0"/>
          <w:numId w:val="5"/>
        </w:num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为保证减压阀出口压力，减压阀泄油口需通过泄油口单独外接油箱；而溢流阀的出油口是通油箱的，所以溢流阀不必单独外接油箱。</w:t>
      </w:r>
    </w:p>
    <w:p>
      <w:pPr>
        <w:spacing w:line="360" w:lineRule="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．进油节流调速回路与回油节流调速回路的不同之处：</w:t>
      </w:r>
      <w:bookmarkStart w:id="0" w:name="_GoBack"/>
      <w:bookmarkEnd w:id="0"/>
    </w:p>
    <w:p>
      <w:pPr>
        <w:numPr>
          <w:ilvl w:val="0"/>
          <w:numId w:val="6"/>
        </w:num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承受负值负载的能力：回油节流调速回呼的节流阀使液压缸回油腔形成一定的背压，在负值负载时，背压能阻止工作部件的前冲，由于回油腔没有背压力，因而不能在负值负载下工作。</w:t>
      </w:r>
    </w:p>
    <w:p>
      <w:pPr>
        <w:numPr>
          <w:ilvl w:val="0"/>
          <w:numId w:val="6"/>
        </w:num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停车后的启动性能：长期停车后液压缸油腔内的油液会流回油箱，当液压泵重新向液压缸供油时，在回油节流调速回路中，由于没有节流阀控制流量，会使活塞前冲；而在进油节流调速回路中，由于进油路上有节流阀控制流量，故活塞前冲很小，甚至没有前冲。</w:t>
      </w:r>
    </w:p>
    <w:p>
      <w:pPr>
        <w:numPr>
          <w:ilvl w:val="0"/>
          <w:numId w:val="6"/>
        </w:num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实现压力控制的方便性：进油节流调速回路中，进油腔的压力将随负载而变化，当工作部件碰到止挡块而停止后，其压力将升到溢流阀的调定压力，而回油节流调速回路中，只有回油腔的压力才会随负载而变化，当工作部件碰到止挡块后，其压力将降至零。</w:t>
      </w:r>
    </w:p>
    <w:p>
      <w:pPr>
        <w:numPr>
          <w:ilvl w:val="0"/>
          <w:numId w:val="6"/>
        </w:num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发热及泄漏的影响：进油节流调速回路，湍流是经节流阀直接进入进油腔，而回油节流调速回路中，是经过节流阀发热后的液压油将直接流回油条冷却。</w:t>
      </w:r>
    </w:p>
    <w:p>
      <w:pPr>
        <w:numPr>
          <w:ilvl w:val="0"/>
          <w:numId w:val="6"/>
        </w:numPr>
        <w:spacing w:line="360" w:lineRule="auto"/>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rPr>
        <w:t>运动平稳性：回油节流调速由于存在背压力，可起阻尼作用，平稳性比进油节流调速好。</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C69754"/>
    <w:multiLevelType w:val="singleLevel"/>
    <w:tmpl w:val="8DC69754"/>
    <w:lvl w:ilvl="0" w:tentative="0">
      <w:start w:val="2"/>
      <w:numFmt w:val="decimal"/>
      <w:suff w:val="nothing"/>
      <w:lvlText w:val="（%1）"/>
      <w:lvlJc w:val="left"/>
    </w:lvl>
  </w:abstractNum>
  <w:abstractNum w:abstractNumId="1">
    <w:nsid w:val="BB5FADB6"/>
    <w:multiLevelType w:val="singleLevel"/>
    <w:tmpl w:val="BB5FADB6"/>
    <w:lvl w:ilvl="0" w:tentative="0">
      <w:start w:val="1"/>
      <w:numFmt w:val="decimal"/>
      <w:suff w:val="nothing"/>
      <w:lvlText w:val="（%1）"/>
      <w:lvlJc w:val="left"/>
    </w:lvl>
  </w:abstractNum>
  <w:abstractNum w:abstractNumId="2">
    <w:nsid w:val="ED1B8D1D"/>
    <w:multiLevelType w:val="singleLevel"/>
    <w:tmpl w:val="ED1B8D1D"/>
    <w:lvl w:ilvl="0" w:tentative="0">
      <w:start w:val="4"/>
      <w:numFmt w:val="decimal"/>
      <w:suff w:val="space"/>
      <w:lvlText w:val="%1."/>
      <w:lvlJc w:val="left"/>
    </w:lvl>
  </w:abstractNum>
  <w:abstractNum w:abstractNumId="3">
    <w:nsid w:val="0E448A22"/>
    <w:multiLevelType w:val="singleLevel"/>
    <w:tmpl w:val="0E448A22"/>
    <w:lvl w:ilvl="0" w:tentative="0">
      <w:start w:val="1"/>
      <w:numFmt w:val="decimal"/>
      <w:suff w:val="nothing"/>
      <w:lvlText w:val="（%1）"/>
      <w:lvlJc w:val="left"/>
    </w:lvl>
  </w:abstractNum>
  <w:abstractNum w:abstractNumId="4">
    <w:nsid w:val="24F681EC"/>
    <w:multiLevelType w:val="singleLevel"/>
    <w:tmpl w:val="24F681EC"/>
    <w:lvl w:ilvl="0" w:tentative="0">
      <w:start w:val="1"/>
      <w:numFmt w:val="chineseCounting"/>
      <w:suff w:val="nothing"/>
      <w:lvlText w:val="%1、"/>
      <w:lvlJc w:val="left"/>
      <w:rPr>
        <w:rFonts w:hint="eastAsia"/>
      </w:rPr>
    </w:lvl>
  </w:abstractNum>
  <w:abstractNum w:abstractNumId="5">
    <w:nsid w:val="6FFC2D34"/>
    <w:multiLevelType w:val="singleLevel"/>
    <w:tmpl w:val="6FFC2D34"/>
    <w:lvl w:ilvl="0" w:tentative="0">
      <w:start w:val="2"/>
      <w:numFmt w:val="decimal"/>
      <w:suff w:val="space"/>
      <w:lvlText w:val="%1．"/>
      <w:lvlJc w:val="left"/>
    </w:lvl>
  </w:abstractNum>
  <w:num w:numId="1">
    <w:abstractNumId w:val="4"/>
  </w:num>
  <w:num w:numId="2">
    <w:abstractNumId w:val="5"/>
  </w:num>
  <w:num w:numId="3">
    <w:abstractNumId w:val="0"/>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YTc5M2VlODk2ZDVmMDE4ZjQzZTU0M2M4ODllZWUifQ=="/>
  </w:docVars>
  <w:rsids>
    <w:rsidRoot w:val="6CE91C25"/>
    <w:rsid w:val="085B1CDA"/>
    <w:rsid w:val="0FDB5FF0"/>
    <w:rsid w:val="47745063"/>
    <w:rsid w:val="6CE91C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rPr>
      <w:sz w:val="24"/>
    </w:rPr>
  </w:style>
  <w:style w:type="character" w:styleId="7">
    <w:name w:val="Strong"/>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1271</Words>
  <Characters>1315</Characters>
  <Lines>0</Lines>
  <Paragraphs>0</Paragraphs>
  <TotalTime>0</TotalTime>
  <ScaleCrop>false</ScaleCrop>
  <LinksUpToDate>false</LinksUpToDate>
  <CharactersWithSpaces>1371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2023-06-08T10:26:00Z</dcterms:created>
  <dc:creator>LP</dc:creator>
  <cp:lastModifiedBy>Administrator</cp:lastModifiedBy>
  <dcterms:modified xsi:type="dcterms:W3CDTF">2023-06-28T10:28:01Z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0638AA5889554B97A601B179F5DB5514_11</vt:lpwstr>
  </property>
</Properties>
</file>