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eastAsia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</w:rPr>
        <w:t>证券投资</w:t>
      </w:r>
      <w:r>
        <w:rPr>
          <w:rFonts w:hint="eastAsia" w:ascii="宋体" w:hAnsi="宋体" w:eastAsia="宋体" w:cs="宋体"/>
          <w:b/>
          <w:sz w:val="28"/>
          <w:szCs w:val="28"/>
          <w:u w:val="none"/>
          <w:lang w:eastAsia="zh-CN"/>
        </w:rPr>
        <w:t>复习题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1.交易双方不必在买卖双方的初期交割，而是约定在未来的某一时刻交割的金融衍生工具是（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A.期货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B.股权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C.基金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D.股票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2.股票理论价值和每股收益的比例是指（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A.市净率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B.市盈率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C.市销率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D.收益率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3.下列情况属于多头市场的是（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A.DIF＜0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B.短期RSI＞长期RSI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C.DEA＜0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D.OBOS＜0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4.证券按其性质不同，可以分为 （      ） 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A.凭证证券和有价证券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B.资本证券和货券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C.商品证券和无价证券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D.虚拟证券和有券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5.投资者持有证券是为了取得收益，但持有证券也要冒得不到收益甚至损失的风险。所以，收益是对风险的补偿，风险与收益成（      ）关系。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A.正比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B.反比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C.不相关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D.线性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6.安全性最高的有价证券是（      ） 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A.股票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B.国债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C.公司债券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D.金融债券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7.在计算基金资产总额时，基金拥有的上市股票、认股权证是以计算日集中交易市场的（      ）为准 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A.开盘价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B.收盘价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C.最高价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D.最低价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8.金融期货的交易对象是（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A.金融商品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B.金融商品合约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C.金融期货合约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D.金融期货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9.（      ）是影响股票市场供给的最直接、最根本的因素。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A.宏观经济环境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B.制度因素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C.上市公司质量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D.行业大环境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行业分析属于一种（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A.微观分析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B.中观分析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C.宏观分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D.三者兼有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）1.短期均线从上向下穿越长期均线叫黄金交叉。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）2.投机者可以买空但不能卖空。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）3.股票按上市地区可划分为A 股，B 股,H 股,N 股S 股。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）4.一般来说，当市场利率下跌时，债券的市场价格也跟着下跌。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）5.头肩顶形态中，右肩形成时股价下跌突破颈线是一种卖出信号。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三、多项</w:t>
      </w:r>
      <w:r>
        <w:rPr>
          <w:rFonts w:hint="eastAsia" w:ascii="宋体" w:hAnsi="宋体" w:eastAsia="宋体" w:cs="宋体"/>
          <w:b/>
          <w:sz w:val="24"/>
          <w:szCs w:val="24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证券投资过程的五个步骤依次排列为确定投资目标、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选择投资组合策略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评估投资业绩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制定投资政策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构建和修正投资组合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来自个人投资者自身主体的投资限制因素有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收入水平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财务状况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投资期限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所处的生命周期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下列哪些属于积极的股票投资策略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预测股票未来的收益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预测股票未来的股利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买入指数成份股组合并持有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分析技术指标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构建投资组合涉及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选择业绩基准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资产配置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具体资产的选择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必要的修正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下列基金的业绩基准相同的是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天同上证 180 指数基金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华安上证 1 80 指数基金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易方达上证 50 指数基金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融通深证 100 指数基金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四、简答题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1.证券市场价格的主要影响因素有哪些？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2.</w:t>
      </w:r>
      <w:r>
        <w:rPr>
          <w:rFonts w:ascii="新宋体" w:hAnsi="Arial" w:eastAsia="新宋体" w:cs="Arial"/>
          <w:color w:val="0F0F0F"/>
          <w:kern w:val="0"/>
          <w:szCs w:val="21"/>
        </w:rPr>
        <w:t>如何理解财务状况分析的局限性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3.</w:t>
      </w:r>
      <w:r>
        <w:rPr>
          <w:rFonts w:hint="eastAsia" w:ascii="新宋体" w:eastAsia="新宋体"/>
          <w:color w:val="0F0F0F"/>
          <w:sz w:val="21"/>
        </w:rPr>
        <w:t>简述证券发行市场与交易市场的关系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五、计算题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1.假设某股市三种股票的交易资料如下，假设基期股票价格指数为 100， 利用加权综合法以报告期交易量为权数求出股价指数。</w:t>
      </w:r>
    </w:p>
    <w:tbl>
      <w:tblPr>
        <w:tblStyle w:val="4"/>
        <w:tblpPr w:leftFromText="180" w:rightFromText="180" w:vertAnchor="text" w:horzAnchor="page" w:tblpX="1202" w:tblpY="233"/>
        <w:tblOverlap w:val="never"/>
        <w:tblW w:w="89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5"/>
        <w:gridCol w:w="1723"/>
        <w:gridCol w:w="1724"/>
        <w:gridCol w:w="1549"/>
        <w:gridCol w:w="1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065" w:type="dxa"/>
            <w:vMerge w:val="restart"/>
            <w:noWrap w:val="0"/>
            <w:vAlign w:val="top"/>
          </w:tcPr>
          <w:p>
            <w:pPr>
              <w:pStyle w:val="6"/>
              <w:spacing w:line="360" w:lineRule="auto"/>
              <w:ind w:left="799" w:right="78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项目种类</w:t>
            </w:r>
          </w:p>
        </w:tc>
        <w:tc>
          <w:tcPr>
            <w:tcW w:w="3447" w:type="dxa"/>
            <w:gridSpan w:val="2"/>
            <w:noWrap w:val="0"/>
            <w:vAlign w:val="top"/>
          </w:tcPr>
          <w:p>
            <w:pPr>
              <w:pStyle w:val="6"/>
              <w:spacing w:line="360" w:lineRule="auto"/>
              <w:ind w:left="1360" w:right="13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股价</w:t>
            </w:r>
          </w:p>
        </w:tc>
        <w:tc>
          <w:tcPr>
            <w:tcW w:w="3447" w:type="dxa"/>
            <w:gridSpan w:val="2"/>
            <w:noWrap w:val="0"/>
            <w:vAlign w:val="top"/>
          </w:tcPr>
          <w:p>
            <w:pPr>
              <w:pStyle w:val="6"/>
              <w:spacing w:line="360" w:lineRule="auto"/>
              <w:ind w:left="1360" w:right="13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交易量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06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before="25"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基期(P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 xml:space="preserve">０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before="25"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报告期(P</w:t>
            </w:r>
            <w:r>
              <w:rPr>
                <w:rFonts w:hint="eastAsia" w:ascii="宋体" w:hAnsi="宋体" w:eastAsia="宋体" w:cs="宋体"/>
                <w:position w:val="3"/>
                <w:sz w:val="21"/>
                <w:szCs w:val="21"/>
              </w:rPr>
              <w:t xml:space="preserve">１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before="54" w:line="360" w:lineRule="auto"/>
              <w:ind w:left="229" w:right="2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基期(W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>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before="54" w:line="360" w:lineRule="auto"/>
              <w:ind w:left="269" w:right="26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报告期(W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>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065" w:type="dxa"/>
            <w:noWrap w:val="0"/>
            <w:vAlign w:val="top"/>
          </w:tcPr>
          <w:p>
            <w:pPr>
              <w:pStyle w:val="6"/>
              <w:spacing w:line="360" w:lineRule="auto"/>
              <w:ind w:left="101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A</w:t>
            </w: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line="360" w:lineRule="auto"/>
              <w:ind w:left="1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6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line="360" w:lineRule="auto"/>
              <w:ind w:left="229" w:right="2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line="360" w:lineRule="auto"/>
              <w:ind w:left="269" w:right="2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065" w:type="dxa"/>
            <w:noWrap w:val="0"/>
            <w:vAlign w:val="top"/>
          </w:tcPr>
          <w:p>
            <w:pPr>
              <w:pStyle w:val="6"/>
              <w:spacing w:line="360" w:lineRule="auto"/>
              <w:ind w:left="101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B</w:t>
            </w: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line="360" w:lineRule="auto"/>
              <w:ind w:left="1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4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line="360" w:lineRule="auto"/>
              <w:ind w:left="229" w:right="2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line="360" w:lineRule="auto"/>
              <w:ind w:left="269" w:right="2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rPr>
          <w:rFonts w:hint="eastAsia" w:ascii="新宋体" w:eastAsia="新宋体"/>
          <w:color w:val="0F0F0F"/>
          <w:szCs w:val="21"/>
        </w:rPr>
      </w:pPr>
      <w:r>
        <w:rPr>
          <w:rFonts w:hint="eastAsia" w:ascii="新宋体" w:eastAsia="新宋体"/>
          <w:color w:val="0F0F0F"/>
          <w:szCs w:val="21"/>
          <w:lang w:val="en-US" w:eastAsia="zh-CN"/>
        </w:rPr>
        <w:t>2.</w:t>
      </w:r>
      <w:r>
        <w:rPr>
          <w:rFonts w:hint="eastAsia" w:ascii="新宋体" w:eastAsia="新宋体"/>
          <w:color w:val="0F0F0F"/>
          <w:szCs w:val="21"/>
        </w:rPr>
        <w:t>某钢铁公司确定股利分配方案为10股送1股，10股配2股，配股价为6元，其股权登记日当天的收盘价为8.5元，计算该股票第二天的理论除权除息价格。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eastAsia="zh-CN"/>
        </w:rPr>
      </w:pPr>
      <w:r>
        <w:rPr>
          <w:rFonts w:hint="eastAsia" w:ascii="新宋体" w:eastAsia="新宋体"/>
          <w:color w:val="0F0F0F"/>
          <w:szCs w:val="21"/>
        </w:rPr>
        <w:t>3.某面值为1000元的三年期一次性还本付息债券的票面利率为8%，2002年1月1日发行，2003年1月1日买入。假定当时此债券的必要收益率为6%，计算买卖的均衡价格</w:t>
      </w:r>
      <w:r>
        <w:rPr>
          <w:rFonts w:hint="eastAsia" w:ascii="新宋体" w:eastAsia="新宋体"/>
          <w:color w:val="0F0F0F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F0F0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F0F0F"/>
          <w:sz w:val="24"/>
          <w:szCs w:val="24"/>
          <w:lang w:val="en-US" w:eastAsia="zh-CN"/>
        </w:rPr>
        <w:t>答案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1-5 ABBAA       6-10 BBCCB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1-5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××√×√　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、多项</w:t>
      </w:r>
      <w:r>
        <w:rPr>
          <w:rFonts w:hint="eastAsia" w:ascii="宋体" w:hAnsi="宋体" w:eastAsia="宋体" w:cs="宋体"/>
          <w:b/>
          <w:sz w:val="24"/>
          <w:szCs w:val="24"/>
        </w:rPr>
        <w:t>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1.CADB      2.ABCD    3.ABD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4.BCD  5.AB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四、简答题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答：影响证券市场价格的影响因素主要有以下几方面：（1）．宏观因素。包括宏观经济因素；政治因素；法律因素；军事因素；文化、自然因素。（2）产业和区域因素。（3）公司因素。（4）市场因素。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2.答:（1）财务报告的信息不完备性（2）财务报表中非货币信息的缺陷（3）财务报告分期的缺陷（4）历史成本数据的局限性（5）会计方法的局限性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新宋体" w:eastAsia="新宋体"/>
          <w:color w:val="0F0F0F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新宋体" w:eastAsia="新宋体"/>
          <w:color w:val="0F0F0F"/>
          <w:sz w:val="21"/>
        </w:rPr>
        <w:t>答： 证券发行市场与证券交易市场相辅相成，缺一不可</w:t>
      </w:r>
      <w:r>
        <w:rPr>
          <w:rFonts w:hint="eastAsia" w:ascii="新宋体" w:eastAsia="新宋体"/>
          <w:color w:val="0F0F0F"/>
          <w:sz w:val="21"/>
          <w:lang w:val="en-US" w:eastAsia="zh-CN"/>
        </w:rPr>
        <w:t>,</w:t>
      </w:r>
    </w:p>
    <w:p>
      <w:pPr>
        <w:rPr>
          <w:rFonts w:hint="eastAsia" w:ascii="新宋体" w:eastAsia="新宋体"/>
          <w:color w:val="0F0F0F"/>
          <w:sz w:val="21"/>
          <w:lang w:val="en-US" w:eastAsia="zh-CN"/>
        </w:rPr>
      </w:pPr>
      <w:r>
        <w:rPr>
          <w:rFonts w:hint="eastAsia" w:ascii="新宋体" w:eastAsia="新宋体"/>
          <w:color w:val="0F0F0F"/>
          <w:sz w:val="21"/>
        </w:rPr>
        <w:t>有了证券发行市场，才有证券市场，证券交易市场才有交易内容</w:t>
      </w:r>
      <w:r>
        <w:rPr>
          <w:rFonts w:hint="eastAsia" w:ascii="新宋体" w:eastAsia="新宋体"/>
          <w:color w:val="0F0F0F"/>
          <w:sz w:val="21"/>
          <w:lang w:val="en-US" w:eastAsia="zh-CN"/>
        </w:rPr>
        <w:t>,</w:t>
      </w:r>
    </w:p>
    <w:p>
      <w:pPr>
        <w:rPr>
          <w:rFonts w:hint="eastAsia" w:ascii="新宋体" w:eastAsia="新宋体"/>
          <w:color w:val="0F0F0F"/>
          <w:sz w:val="21"/>
        </w:rPr>
      </w:pPr>
      <w:r>
        <w:rPr>
          <w:rFonts w:hint="eastAsia" w:ascii="新宋体" w:eastAsia="新宋体"/>
          <w:color w:val="0F0F0F"/>
          <w:sz w:val="21"/>
        </w:rPr>
        <w:t>有了证券交易市场，投资者购买证券才可能自由地出售，才有可能吸引更多的投资者购买证券，促使证券市场更好地发挥作用。</w:t>
      </w:r>
    </w:p>
    <w:p>
      <w:pPr>
        <w:rPr>
          <w:rFonts w:hint="eastAsia" w:ascii="新宋体" w:eastAsia="新宋体"/>
          <w:color w:val="0F0F0F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五、计算题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Ｐ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5" o:spt="75" type="#_x0000_t75" style="height:15pt;width:6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6" o:spt="75" type="#_x0000_t75" style="height:31pt;width:91pt;" o:ole="t" filled="f" o:preferrelative="t" stroked="f" coordsize="21600,21600">
            <v:path/>
            <v:fill on="f" focussize="0,0"/>
            <v:stroke on="f"/>
            <v:imagedata r:id="rId9" o:title=""/>
            <o:lock v:ext="edit" grouping="f" rotation="f" text="f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×100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＝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7" o:spt="75" type="#_x0000_t75" style="height:31pt;width:63pt;" o:ole="t" filled="f" o:preferrelative="t" stroked="f" coordsize="21600,21600">
            <v:path/>
            <v:fill on="f" focussize="0,0"/>
            <v:stroke on="f"/>
            <v:imagedata r:id="rId11" o:title=""/>
            <o:lock v:ext="edit" grouping="f" rotation="f" text="f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×100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＝200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答：股价指数为200。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rPr>
          <w:rFonts w:hint="eastAsia" w:ascii="新宋体" w:eastAsia="新宋体"/>
          <w:color w:val="0F0F0F"/>
          <w:szCs w:val="21"/>
          <w:lang w:val="en-US" w:eastAsia="zh-CN"/>
        </w:rPr>
      </w:pPr>
    </w:p>
    <w:p>
      <w:pPr>
        <w:rPr>
          <w:rFonts w:hint="eastAsia" w:ascii="新宋体" w:hAnsi="宋体" w:eastAsia="新宋体"/>
          <w:color w:val="0F0F0F"/>
          <w:sz w:val="21"/>
          <w:szCs w:val="21"/>
        </w:rPr>
      </w:pPr>
      <w:r>
        <w:rPr>
          <w:rFonts w:hint="eastAsia" w:ascii="新宋体" w:eastAsia="新宋体"/>
          <w:color w:val="0F0F0F"/>
          <w:szCs w:val="21"/>
          <w:lang w:val="en-US" w:eastAsia="zh-CN"/>
        </w:rPr>
        <w:t>2</w:t>
      </w:r>
      <w:r>
        <w:rPr>
          <w:rFonts w:hint="eastAsia" w:ascii="新宋体" w:eastAsia="新宋体"/>
          <w:color w:val="0F0F0F"/>
          <w:szCs w:val="21"/>
        </w:rPr>
        <w:t>.</w:t>
      </w:r>
      <w:r>
        <w:rPr>
          <w:rFonts w:ascii="新宋体" w:eastAsia="新宋体"/>
          <w:color w:val="0F0F0F"/>
          <w:sz w:val="21"/>
          <w:szCs w:val="21"/>
        </w:rPr>
        <w:object>
          <v:shape id="_x0000_i1028" o:spt="75" type="#_x0000_t75" style="height:36pt;width:111pt;" o:ole="t" filled="f" o:preferrelative="t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PBrush" ShapeID="_x0000_i1028" DrawAspect="Content" ObjectID="_1468075728" r:id="rId12">
            <o:LockedField>false</o:LockedField>
          </o:OLEObject>
        </w:object>
      </w:r>
      <w:r>
        <w:rPr>
          <w:rFonts w:hint="eastAsia" w:ascii="新宋体" w:hAnsi="宋体" w:eastAsia="新宋体"/>
          <w:color w:val="0F0F0F"/>
          <w:sz w:val="21"/>
          <w:szCs w:val="21"/>
        </w:rPr>
        <w:t xml:space="preserve">                                   </w:t>
      </w:r>
    </w:p>
    <w:p>
      <w:pPr>
        <w:rPr>
          <w:rFonts w:hint="eastAsia" w:ascii="新宋体" w:hAnsi="宋体" w:eastAsia="新宋体"/>
          <w:color w:val="0F0F0F"/>
          <w:szCs w:val="21"/>
        </w:rPr>
      </w:pPr>
      <w:r>
        <w:rPr>
          <w:rFonts w:hint="eastAsia" w:ascii="新宋体" w:hAnsi="宋体" w:eastAsia="新宋体"/>
          <w:color w:val="0F0F0F"/>
          <w:szCs w:val="21"/>
        </w:rPr>
        <w:t xml:space="preserve">      =     8.5+4*0.2                                   </w:t>
      </w:r>
    </w:p>
    <w:p>
      <w:pPr>
        <w:rPr>
          <w:rFonts w:hint="eastAsia" w:ascii="新宋体" w:hAnsi="宋体" w:eastAsia="新宋体"/>
          <w:color w:val="0F0F0F"/>
          <w:szCs w:val="21"/>
        </w:rPr>
      </w:pPr>
      <w:r>
        <w:rPr>
          <w:rFonts w:hint="eastAsia" w:ascii="新宋体" w:eastAsia="新宋体"/>
          <w:color w:val="0F0F0F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2573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0pt;height:0pt;width:99pt;z-index:251659264;mso-width-relative:page;mso-height-relative:page;" filled="f" stroked="t" coordsize="21600,21600" o:gfxdata="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Qrr8jTAAAABQEAAA8AAAAAAAAAAQAgAAAAIgAAAGRycy9kb3ducmV2LnhtbFBLAQIUABQA&#10;AAAIAIdO4kANmV7Z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宋体" w:eastAsia="新宋体"/>
          <w:color w:val="0F0F0F"/>
          <w:szCs w:val="21"/>
        </w:rPr>
        <w:t xml:space="preserve">             1+0.1+0.2 </w:t>
      </w:r>
    </w:p>
    <w:p>
      <w:pPr>
        <w:ind w:firstLine="630" w:firstLineChars="300"/>
        <w:rPr>
          <w:rFonts w:hint="eastAsia" w:ascii="新宋体" w:hAnsi="宋体" w:eastAsia="新宋体"/>
          <w:color w:val="0F0F0F"/>
          <w:szCs w:val="21"/>
        </w:rPr>
      </w:pPr>
      <w:r>
        <w:rPr>
          <w:rFonts w:hint="eastAsia" w:ascii="新宋体" w:hAnsi="宋体" w:eastAsia="新宋体"/>
          <w:color w:val="0F0F0F"/>
          <w:szCs w:val="21"/>
        </w:rPr>
        <w:t>=    7.15</w:t>
      </w:r>
    </w:p>
    <w:p>
      <w:pPr>
        <w:rPr>
          <w:rFonts w:hint="eastAsia" w:ascii="新宋体" w:eastAsia="新宋体"/>
          <w:color w:val="0F0F0F"/>
          <w:szCs w:val="21"/>
        </w:rPr>
      </w:pPr>
      <w:r>
        <w:rPr>
          <w:rFonts w:hint="eastAsia" w:ascii="新宋体" w:hAnsi="宋体" w:eastAsia="新宋体"/>
          <w:color w:val="0F0F0F"/>
          <w:szCs w:val="21"/>
        </w:rPr>
        <w:t xml:space="preserve">该股票第二天的理论除权价为7.5     </w:t>
      </w:r>
    </w:p>
    <w:p>
      <w:pPr>
        <w:spacing w:line="360" w:lineRule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新宋体" w:eastAsia="新宋体"/>
          <w:color w:val="0F0F0F"/>
          <w:szCs w:val="21"/>
          <w:lang w:val="en-US" w:eastAsia="zh-CN"/>
        </w:rPr>
      </w:pPr>
      <w:r>
        <w:rPr>
          <w:rFonts w:hint="eastAsia" w:ascii="新宋体" w:eastAsia="新宋体"/>
          <w:color w:val="0F0F0F"/>
          <w:szCs w:val="21"/>
        </w:rPr>
        <w:t>3.</w:t>
      </w:r>
    </w:p>
    <w:p>
      <w:pPr>
        <w:spacing w:line="360" w:lineRule="auto"/>
        <w:rPr>
          <w:rFonts w:hint="eastAsia" w:ascii="宋体" w:hAnsi="宋体" w:eastAsia="宋体" w:cs="宋体"/>
          <w:color w:val="0F0F0F"/>
          <w:szCs w:val="21"/>
          <w:vertAlign w:val="superscript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 </w:t>
      </w:r>
      <w:r>
        <w:rPr>
          <w:rFonts w:hint="eastAsia" w:ascii="宋体" w:hAnsi="宋体" w:eastAsia="宋体" w:cs="宋体"/>
          <w:color w:val="0F0F0F"/>
          <w:sz w:val="21"/>
          <w:szCs w:val="21"/>
        </w:rPr>
        <w:t>P=M(1+r)</w:t>
      </w:r>
      <w:r>
        <w:rPr>
          <w:rFonts w:hint="eastAsia" w:ascii="宋体" w:hAnsi="宋体" w:eastAsia="宋体" w:cs="宋体"/>
          <w:color w:val="0F0F0F"/>
          <w:sz w:val="36"/>
          <w:szCs w:val="36"/>
          <w:vertAlign w:val="superscript"/>
        </w:rPr>
        <w:t>n</w:t>
      </w:r>
      <w:r>
        <w:rPr>
          <w:rFonts w:hint="eastAsia" w:ascii="宋体" w:hAnsi="宋体" w:eastAsia="宋体" w:cs="宋体"/>
          <w:color w:val="0F0F0F"/>
          <w:sz w:val="21"/>
          <w:szCs w:val="21"/>
        </w:rPr>
        <w:t xml:space="preserve"> / (1+R)</w:t>
      </w:r>
      <w:r>
        <w:rPr>
          <w:rFonts w:hint="eastAsia" w:ascii="宋体" w:hAnsi="宋体" w:eastAsia="宋体" w:cs="宋体"/>
          <w:color w:val="0F0F0F"/>
          <w:sz w:val="36"/>
          <w:szCs w:val="36"/>
          <w:vertAlign w:val="superscript"/>
        </w:rPr>
        <w:t>m</w:t>
      </w:r>
      <w:r>
        <w:rPr>
          <w:rFonts w:hint="eastAsia" w:ascii="宋体" w:hAnsi="宋体" w:eastAsia="宋体" w:cs="宋体"/>
          <w:color w:val="0F0F0F"/>
          <w:sz w:val="44"/>
          <w:szCs w:val="44"/>
        </w:rPr>
        <w:t xml:space="preserve"> </w:t>
      </w:r>
      <w:r>
        <w:rPr>
          <w:rFonts w:hint="eastAsia" w:ascii="宋体" w:hAnsi="宋体" w:eastAsia="宋体" w:cs="宋体"/>
          <w:color w:val="0F0F0F"/>
          <w:szCs w:val="21"/>
        </w:rPr>
        <w:t xml:space="preserve">                                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>=1000(1+0.08)</w:t>
      </w:r>
      <w:r>
        <w:rPr>
          <w:rFonts w:hint="eastAsia" w:ascii="宋体" w:hAnsi="宋体" w:eastAsia="宋体" w:cs="宋体"/>
          <w:color w:val="0F0F0F"/>
          <w:sz w:val="32"/>
          <w:szCs w:val="32"/>
          <w:vertAlign w:val="superscript"/>
        </w:rPr>
        <w:t>3</w:t>
      </w:r>
      <w:r>
        <w:rPr>
          <w:rFonts w:hint="eastAsia" w:ascii="宋体" w:hAnsi="宋体" w:eastAsia="宋体" w:cs="宋体"/>
          <w:color w:val="0F0F0F"/>
          <w:szCs w:val="21"/>
        </w:rPr>
        <w:t>/(1+0.06)</w:t>
      </w:r>
      <w:r>
        <w:rPr>
          <w:rFonts w:hint="eastAsia" w:ascii="宋体" w:hAnsi="宋体" w:eastAsia="宋体" w:cs="宋体"/>
          <w:color w:val="0F0F0F"/>
          <w:sz w:val="30"/>
          <w:szCs w:val="30"/>
          <w:vertAlign w:val="superscript"/>
        </w:rPr>
        <w:t>2</w:t>
      </w:r>
      <w:r>
        <w:rPr>
          <w:rFonts w:hint="eastAsia" w:ascii="宋体" w:hAnsi="宋体" w:eastAsia="宋体" w:cs="宋体"/>
          <w:color w:val="0F0F0F"/>
          <w:szCs w:val="21"/>
        </w:rPr>
        <w:t xml:space="preserve">                           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=1121.14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0F0E14"/>
    <w:multiLevelType w:val="singleLevel"/>
    <w:tmpl w:val="8C0F0E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B3A15CA"/>
    <w:rsid w:val="2B3A15CA"/>
    <w:rsid w:val="2D325D34"/>
    <w:rsid w:val="6C13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1529</Words>
  <Characters>1781</Characters>
  <Lines>0</Lines>
  <Paragraphs>0</Paragraphs>
  <TotalTime>1</TotalTime>
  <ScaleCrop>false</ScaleCrop>
  <LinksUpToDate>false</LinksUpToDate>
  <CharactersWithSpaces>2622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2023-06-05T07:18:00Z</dcterms:created>
  <dc:creator>LP</dc:creator>
  <cp:lastModifiedBy>Administrator</cp:lastModifiedBy>
  <dcterms:modified xsi:type="dcterms:W3CDTF">2023-06-28T08:10:46Z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8F8D1C778DD44F3C901994FB6DC71F4C_11</vt:lpwstr>
  </property>
</Properties>
</file>