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证券投资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会计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i w:val="0"/>
          <w:iCs w:val="0"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题2分，共30分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1.交易双方不必在买卖双方的初期交割，而是约定在未来的某一时刻交割的金融衍生工具是（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A.期货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B.股权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C.基金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D.股票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2.股票理论价值和每股收益的比例是指（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A.市净率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B.市盈率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C.市销率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D.收益率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3.下列情况属于多头市场的是（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A.DIF＜0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B.短期RSI＞长期RSI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C.DEA＜0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D.OBOS＜0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4.证券按其性质不同，可以分为（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A.凭证证券和有价证券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B.资本证券和货券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C.商品证券和无价证券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D.虚拟证券和有券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5.投资者持有证券是为了取得收益，但持有证券也要冒得不到收益甚至损失的风险。所以，收益是对风险的补偿，风险与收益成（      ）关系。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A.正比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B.反比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C.不相关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D.线性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6.安全性最高的有价证券是（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A.股票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B.国债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C.公司债券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D.金融债券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7.在计算基金资产总额时，基金拥有的上市股票、认股权证是以计算日集中交易市场的（      ）为准 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A.开盘价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B.收盘价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C.最高价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D.最低价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8.金融期货的交易对象是（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A.金融商品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B.金融商品合约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C.金融期货合约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D.金融期货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9.（      ）是影响股票市场供给的最直接、最根本的因素。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A.宏观经济环境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 xml:space="preserve">B.制度因素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C.上市公司质量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D.行业大环境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行业分析属于一种（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A.微观分析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B.中观分析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C.宏观分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D.三者兼有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sz w:val="21"/>
          <w:szCs w:val="21"/>
        </w:rPr>
        <w:t>债券、股票等有价证券实质是一种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A.直接投资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B.真实资本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C.纸制副本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D.虚拟资本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sz w:val="21"/>
          <w:szCs w:val="21"/>
        </w:rPr>
        <w:t>证券投资属于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A.直接投资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B.实物投资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C.间接投资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D.资本投资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sz w:val="21"/>
          <w:szCs w:val="21"/>
        </w:rPr>
        <w:t>在美国，投资基金被称为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A.投资基金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B.单位信托投资基金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C.共同基金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D.证券投资信托基金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sz w:val="21"/>
          <w:szCs w:val="21"/>
        </w:rPr>
        <w:t>投资股票的明显特点是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A.机会性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B.风险性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C.收益性　　　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D.机会性与风险性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sz w:val="21"/>
          <w:szCs w:val="21"/>
        </w:rPr>
        <w:t>股份有限公司的最高权力机构是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A.董事会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B.监事会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C.股东大会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D.理事会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）1.短期均线从上向下穿越长期均线叫黄金交叉。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）2.投机者可以买空但不能卖空。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）3.股票按上市地区可划分为A 股，B 股,H 股,N 股S 股。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）4.一般来说，当市场利率下跌时，债券的市场价格也跟着下跌。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）5.头肩顶形态中，右肩形成时股价下跌突破颈线是一种卖出信号。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股价创新高，指标没有创新高，称为顶背离，是买入信号。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）7.当DIF&gt;0 说明短期指数平滑线比长期指数平滑线高，是多头市场。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）8.证券市场是股票，债券，证券投资基金，金融衍生工具等各种有价证券发行和买卖的分析。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）9.如果今收盘价≥前收盘价，则这一潮水是属于多方的潮水。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      ）10.如果企业在年度内没有足够现金派发优先股股息，普通股可以分发股息。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三、多项</w:t>
      </w:r>
      <w:r>
        <w:rPr>
          <w:rFonts w:hint="eastAsia" w:ascii="宋体" w:hAnsi="宋体" w:eastAsia="宋体" w:cs="宋体"/>
          <w:b/>
          <w:sz w:val="24"/>
          <w:szCs w:val="24"/>
        </w:rPr>
        <w:t>题（每小题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证券投资过程的五个步骤依次排列为确定投资目标、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选择投资组合策略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评估投资业绩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制定投资政策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构建和修正投资组合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来自个人投资者自身主体的投资限制因素有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收入水平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财务状况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投资期限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所处的生命周期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3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下列哪些属于积极的股票投资策略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预测股票未来的收益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预测股票未来的股利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买入指数成份股组合并持有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分析技术指标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4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构建投资组合涉及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选择业绩基准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资产配置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具体资产的选择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必要的修正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5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下列基金的业绩基准相同的是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天同上证 180 指数基金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华安上证 1 80 指数基金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易方达上证 50 指数基金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融通深证 100 指数基金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6.平滑异同移动平均线由两部分构成，他们分别是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A. 加权移动平均数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B.正负差（DIF）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C.异同平均数(DEA) 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D.简单平均数E.加权平均数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7.证券市场的基本特征是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A.交易对象是有价证券      B.风险较大，具有较大的波动性和不可预测性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C.有价证券具有多重职能    D.证券市场上证券价格的实质是预期收益的市场价格，与市场利率密切相关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8.证券市场价格的主要影响因素：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A.宏观因素           B.产业因素          C.公司因素          D.区域因素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9.按证券投资风险的性质分类，风险可以分为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A.非系统风险         B.流通风险          C.利率风险          D.系统风险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10.证劵组合管理的必要性在于为各种不同类型的投资者提供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          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 xml:space="preserve">A.稳定风险        B.稳定收益         C.降低风险         D.实现预期收益最大化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四、简答题（每小题 5 分，共 15 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1.证券市场价格的主要影响因素有哪些？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2.</w:t>
      </w:r>
      <w:r>
        <w:rPr>
          <w:rFonts w:ascii="新宋体" w:hAnsi="Arial" w:eastAsia="新宋体" w:cs="Arial"/>
          <w:color w:val="0F0F0F"/>
          <w:kern w:val="0"/>
          <w:szCs w:val="21"/>
        </w:rPr>
        <w:t>如何理解财务状况分析的局限性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3.</w:t>
      </w:r>
      <w:r>
        <w:rPr>
          <w:rFonts w:hint="eastAsia" w:ascii="新宋体" w:eastAsia="新宋体"/>
          <w:color w:val="0F0F0F"/>
          <w:sz w:val="21"/>
        </w:rPr>
        <w:t>简述证券发行市场与交易市场的关系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五、计算题（每小题 15分，共 15 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1.假设某股市三种股票的交易资料如下，假设基期股票价格指数为 100， 利用加权综合法以报告期交易量为权数求出股价指数。</w:t>
      </w:r>
    </w:p>
    <w:tbl>
      <w:tblPr>
        <w:tblStyle w:val="4"/>
        <w:tblpPr w:leftFromText="180" w:rightFromText="180" w:vertAnchor="text" w:horzAnchor="page" w:tblpX="1202" w:tblpY="233"/>
        <w:tblOverlap w:val="never"/>
        <w:tblW w:w="89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5"/>
        <w:gridCol w:w="1723"/>
        <w:gridCol w:w="1724"/>
        <w:gridCol w:w="1549"/>
        <w:gridCol w:w="1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065" w:type="dxa"/>
            <w:vMerge w:val="restart"/>
            <w:noWrap w:val="0"/>
            <w:vAlign w:val="top"/>
          </w:tcPr>
          <w:p>
            <w:pPr>
              <w:pStyle w:val="6"/>
              <w:spacing w:line="360" w:lineRule="auto"/>
              <w:ind w:left="799" w:right="78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项目种类</w:t>
            </w:r>
          </w:p>
        </w:tc>
        <w:tc>
          <w:tcPr>
            <w:tcW w:w="3447" w:type="dxa"/>
            <w:gridSpan w:val="2"/>
            <w:noWrap w:val="0"/>
            <w:vAlign w:val="top"/>
          </w:tcPr>
          <w:p>
            <w:pPr>
              <w:pStyle w:val="6"/>
              <w:spacing w:line="360" w:lineRule="auto"/>
              <w:ind w:left="1360" w:right="13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股价</w:t>
            </w:r>
          </w:p>
        </w:tc>
        <w:tc>
          <w:tcPr>
            <w:tcW w:w="3447" w:type="dxa"/>
            <w:gridSpan w:val="2"/>
            <w:noWrap w:val="0"/>
            <w:vAlign w:val="top"/>
          </w:tcPr>
          <w:p>
            <w:pPr>
              <w:pStyle w:val="6"/>
              <w:spacing w:line="360" w:lineRule="auto"/>
              <w:ind w:left="1360" w:right="13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交易量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06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3" w:type="dxa"/>
            <w:noWrap w:val="0"/>
            <w:vAlign w:val="top"/>
          </w:tcPr>
          <w:p>
            <w:pPr>
              <w:pStyle w:val="6"/>
              <w:spacing w:before="25"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基期(P</w:t>
            </w:r>
            <w:r>
              <w:rPr>
                <w:rFonts w:hint="eastAsia" w:ascii="宋体" w:hAnsi="宋体" w:eastAsia="宋体" w:cs="宋体"/>
                <w:position w:val="4"/>
                <w:sz w:val="21"/>
                <w:szCs w:val="21"/>
              </w:rPr>
              <w:t xml:space="preserve">０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pStyle w:val="6"/>
              <w:spacing w:before="25"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报告期(P</w:t>
            </w:r>
            <w:r>
              <w:rPr>
                <w:rFonts w:hint="eastAsia" w:ascii="宋体" w:hAnsi="宋体" w:eastAsia="宋体" w:cs="宋体"/>
                <w:position w:val="3"/>
                <w:sz w:val="21"/>
                <w:szCs w:val="21"/>
              </w:rPr>
              <w:t xml:space="preserve">１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1549" w:type="dxa"/>
            <w:noWrap w:val="0"/>
            <w:vAlign w:val="top"/>
          </w:tcPr>
          <w:p>
            <w:pPr>
              <w:pStyle w:val="6"/>
              <w:spacing w:before="54" w:line="360" w:lineRule="auto"/>
              <w:ind w:left="229" w:right="2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基期(W</w:t>
            </w:r>
            <w:r>
              <w:rPr>
                <w:rFonts w:hint="eastAsia" w:ascii="宋体" w:hAnsi="宋体" w:eastAsia="宋体" w:cs="宋体"/>
                <w:position w:val="4"/>
                <w:sz w:val="21"/>
                <w:szCs w:val="21"/>
              </w:rPr>
              <w:t>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1898" w:type="dxa"/>
            <w:noWrap w:val="0"/>
            <w:vAlign w:val="top"/>
          </w:tcPr>
          <w:p>
            <w:pPr>
              <w:pStyle w:val="6"/>
              <w:spacing w:before="54" w:line="360" w:lineRule="auto"/>
              <w:ind w:left="269" w:right="26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报告期(W</w:t>
            </w:r>
            <w:r>
              <w:rPr>
                <w:rFonts w:hint="eastAsia" w:ascii="宋体" w:hAnsi="宋体" w:eastAsia="宋体" w:cs="宋体"/>
                <w:position w:val="4"/>
                <w:sz w:val="21"/>
                <w:szCs w:val="21"/>
              </w:rPr>
              <w:t>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065" w:type="dxa"/>
            <w:noWrap w:val="0"/>
            <w:vAlign w:val="top"/>
          </w:tcPr>
          <w:p>
            <w:pPr>
              <w:pStyle w:val="6"/>
              <w:spacing w:line="360" w:lineRule="auto"/>
              <w:ind w:left="101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A</w:t>
            </w:r>
          </w:p>
        </w:tc>
        <w:tc>
          <w:tcPr>
            <w:tcW w:w="1723" w:type="dxa"/>
            <w:noWrap w:val="0"/>
            <w:vAlign w:val="top"/>
          </w:tcPr>
          <w:p>
            <w:pPr>
              <w:pStyle w:val="6"/>
              <w:spacing w:line="360" w:lineRule="auto"/>
              <w:ind w:left="1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6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pStyle w:val="6"/>
              <w:spacing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549" w:type="dxa"/>
            <w:noWrap w:val="0"/>
            <w:vAlign w:val="top"/>
          </w:tcPr>
          <w:p>
            <w:pPr>
              <w:pStyle w:val="6"/>
              <w:spacing w:line="360" w:lineRule="auto"/>
              <w:ind w:left="229" w:right="2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80</w:t>
            </w:r>
          </w:p>
        </w:tc>
        <w:tc>
          <w:tcPr>
            <w:tcW w:w="1898" w:type="dxa"/>
            <w:noWrap w:val="0"/>
            <w:vAlign w:val="top"/>
          </w:tcPr>
          <w:p>
            <w:pPr>
              <w:pStyle w:val="6"/>
              <w:spacing w:line="360" w:lineRule="auto"/>
              <w:ind w:left="269" w:right="2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2065" w:type="dxa"/>
            <w:noWrap w:val="0"/>
            <w:vAlign w:val="top"/>
          </w:tcPr>
          <w:p>
            <w:pPr>
              <w:pStyle w:val="6"/>
              <w:spacing w:line="360" w:lineRule="auto"/>
              <w:ind w:left="101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B</w:t>
            </w:r>
          </w:p>
        </w:tc>
        <w:tc>
          <w:tcPr>
            <w:tcW w:w="1723" w:type="dxa"/>
            <w:noWrap w:val="0"/>
            <w:vAlign w:val="top"/>
          </w:tcPr>
          <w:p>
            <w:pPr>
              <w:pStyle w:val="6"/>
              <w:spacing w:line="360" w:lineRule="auto"/>
              <w:ind w:left="1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4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pStyle w:val="6"/>
              <w:spacing w:line="360" w:lineRule="auto"/>
              <w:ind w:left="122" w:righ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549" w:type="dxa"/>
            <w:noWrap w:val="0"/>
            <w:vAlign w:val="top"/>
          </w:tcPr>
          <w:p>
            <w:pPr>
              <w:pStyle w:val="6"/>
              <w:spacing w:line="360" w:lineRule="auto"/>
              <w:ind w:left="229" w:right="2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898" w:type="dxa"/>
            <w:noWrap w:val="0"/>
            <w:vAlign w:val="top"/>
          </w:tcPr>
          <w:p>
            <w:pPr>
              <w:pStyle w:val="6"/>
              <w:spacing w:line="360" w:lineRule="auto"/>
              <w:ind w:left="269" w:right="2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rPr>
          <w:rFonts w:hint="eastAsia" w:ascii="新宋体" w:eastAsia="新宋体"/>
          <w:color w:val="0F0F0F"/>
          <w:szCs w:val="21"/>
        </w:rPr>
      </w:pPr>
      <w:r>
        <w:rPr>
          <w:rFonts w:hint="eastAsia" w:ascii="新宋体" w:eastAsia="新宋体"/>
          <w:color w:val="0F0F0F"/>
          <w:szCs w:val="21"/>
          <w:lang w:val="en-US" w:eastAsia="zh-CN"/>
        </w:rPr>
        <w:t>2.</w:t>
      </w:r>
      <w:r>
        <w:rPr>
          <w:rFonts w:hint="eastAsia" w:ascii="新宋体" w:eastAsia="新宋体"/>
          <w:color w:val="0F0F0F"/>
          <w:szCs w:val="21"/>
        </w:rPr>
        <w:t>某钢铁公司确定股利分配方案为10股送1股，10股配2股，配股价为6元，其股权登记日当天的收盘价为8.5元，计算该股票第二天的理论除权除息价格。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新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新宋体" w:eastAsia="新宋体"/>
          <w:color w:val="0F0F0F"/>
          <w:szCs w:val="21"/>
        </w:rPr>
        <w:t>3.某面值为1000元的三年期一次性还本付息债券的票面利率为8%，2002年1月1日发行，2003年1月1日买入。假定当时此债券的必要收益率为6%，计算买卖的均衡价格</w:t>
      </w:r>
      <w:r>
        <w:rPr>
          <w:rFonts w:hint="eastAsia" w:ascii="新宋体" w:eastAsia="新宋体"/>
          <w:color w:val="0F0F0F"/>
          <w:szCs w:val="21"/>
          <w:lang w:eastAsia="zh-CN"/>
        </w:rPr>
        <w:t>。</w:t>
      </w: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3F8748B0"/>
    <w:rsid w:val="3F0451A0"/>
    <w:rsid w:val="3F87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1908</Words>
  <Characters>2169</Characters>
  <Lines>0</Lines>
  <Paragraphs>0</Paragraphs>
  <TotalTime>0</TotalTime>
  <ScaleCrop>false</ScaleCrop>
  <LinksUpToDate>false</LinksUpToDate>
  <CharactersWithSpaces>3209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2023-06-05T07:17:00Z</dcterms:created>
  <dc:creator>LP</dc:creator>
  <cp:lastModifiedBy>Administrator</cp:lastModifiedBy>
  <dcterms:modified xsi:type="dcterms:W3CDTF">2023-06-28T08:09:59Z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84A55F930D8C4CE98061FF39527027B6_11</vt:lpwstr>
  </property>
</Properties>
</file>